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83EE7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  <w:lang w:val="pt-PT"/>
        </w:rPr>
      </w:pPr>
      <w:r w:rsidRPr="00583EE7">
        <w:rPr>
          <w:rFonts w:ascii="Arial" w:eastAsia="SimSun" w:hAnsi="Arial" w:cs="Arial"/>
          <w:sz w:val="22"/>
          <w:szCs w:val="22"/>
          <w:lang w:val="pt-PT"/>
        </w:rPr>
        <w:t>Respeitável</w:t>
      </w:r>
      <w:r w:rsidR="006514A7" w:rsidRPr="00583EE7">
        <w:rPr>
          <w:rFonts w:ascii="Arial" w:eastAsia="SimSun" w:hAnsi="Arial" w:cs="Arial"/>
          <w:sz w:val="22"/>
          <w:szCs w:val="22"/>
          <w:lang w:val="pt-PT"/>
        </w:rPr>
        <w:t xml:space="preserve"> </w:t>
      </w:r>
    </w:p>
    <w:p w14:paraId="40B260E3" w14:textId="77777777" w:rsidR="006514A7" w:rsidRPr="00583EE7" w:rsidRDefault="006514A7">
      <w:pPr>
        <w:pStyle w:val="Corpotesto"/>
        <w:spacing w:after="0"/>
        <w:rPr>
          <w:rFonts w:ascii="Arial" w:hAnsi="Arial" w:cs="Arial"/>
          <w:sz w:val="22"/>
          <w:szCs w:val="22"/>
          <w:lang w:val="pt-PT"/>
        </w:rPr>
      </w:pPr>
    </w:p>
    <w:p w14:paraId="163BAA4D" w14:textId="7BBFD9D1" w:rsidR="006514A7" w:rsidRPr="00583EE7" w:rsidRDefault="00F23016">
      <w:pPr>
        <w:pStyle w:val="Titolo8"/>
        <w:rPr>
          <w:sz w:val="22"/>
          <w:szCs w:val="22"/>
          <w:u w:val="single"/>
          <w:lang w:val="pt-PT"/>
        </w:rPr>
      </w:pPr>
      <w:r w:rsidRPr="00583EE7">
        <w:rPr>
          <w:sz w:val="22"/>
          <w:szCs w:val="22"/>
          <w:u w:val="single"/>
          <w:lang w:val="pt-PT"/>
        </w:rPr>
        <w:t xml:space="preserve">Fundação E-35 Para os Projectos Internacionais </w:t>
      </w:r>
    </w:p>
    <w:p w14:paraId="0A010A8B" w14:textId="77777777" w:rsidR="006514A7" w:rsidRPr="00583EE7" w:rsidRDefault="006514A7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Moçambique</w:t>
      </w:r>
      <w:proofErr w:type="spellEnd"/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10821C05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544F25">
        <w:rPr>
          <w:b/>
          <w:i w:val="0"/>
          <w:iCs/>
          <w:sz w:val="22"/>
          <w:szCs w:val="22"/>
        </w:rPr>
        <w:t>0</w:t>
      </w:r>
      <w:r w:rsidR="00084BF3">
        <w:rPr>
          <w:b/>
          <w:i w:val="0"/>
          <w:iCs/>
          <w:sz w:val="22"/>
          <w:szCs w:val="22"/>
        </w:rPr>
        <w:t>5</w:t>
      </w:r>
      <w:r w:rsidR="00454211">
        <w:rPr>
          <w:b/>
          <w:i w:val="0"/>
          <w:iCs/>
          <w:sz w:val="22"/>
          <w:szCs w:val="22"/>
        </w:rPr>
        <w:t>/2023</w:t>
      </w:r>
    </w:p>
    <w:p w14:paraId="046F5734" w14:textId="77777777" w:rsidR="006514A7" w:rsidRPr="00583EE7" w:rsidRDefault="006F5080" w:rsidP="002D1131">
      <w:pPr>
        <w:pStyle w:val="Corpodeltesto31"/>
        <w:jc w:val="both"/>
        <w:rPr>
          <w:b/>
          <w:bCs/>
          <w:sz w:val="22"/>
          <w:szCs w:val="22"/>
          <w:lang w:val="pt-PT"/>
        </w:rPr>
      </w:pPr>
      <w:r w:rsidRPr="00583EE7">
        <w:rPr>
          <w:b/>
          <w:sz w:val="22"/>
          <w:szCs w:val="22"/>
          <w:lang w:val="pt-PT"/>
        </w:rPr>
        <w:t xml:space="preserve">  </w:t>
      </w:r>
    </w:p>
    <w:p w14:paraId="3E7121C2" w14:textId="77777777" w:rsidR="006514A7" w:rsidRPr="00583EE7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2B6E45EB" w:rsidR="00CD7DE3" w:rsidRPr="00583EE7" w:rsidRDefault="001E33E0" w:rsidP="001E33E0">
      <w:pPr>
        <w:pStyle w:val="Corpodeltesto31"/>
        <w:rPr>
          <w:b/>
          <w:bCs/>
          <w:sz w:val="22"/>
          <w:szCs w:val="22"/>
          <w:lang w:val="pt-PT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583EE7">
        <w:rPr>
          <w:b/>
          <w:i w:val="0"/>
          <w:iCs/>
          <w:sz w:val="22"/>
          <w:szCs w:val="22"/>
          <w:lang w:val="pt-PT"/>
        </w:rPr>
        <w:t xml:space="preserve">E35 </w:t>
      </w:r>
      <w:r w:rsidR="00544F25" w:rsidRPr="00583EE7">
        <w:rPr>
          <w:b/>
          <w:i w:val="0"/>
          <w:iCs/>
          <w:sz w:val="22"/>
          <w:szCs w:val="22"/>
          <w:lang w:val="pt-PT"/>
        </w:rPr>
        <w:t>0</w:t>
      </w:r>
      <w:r w:rsidR="00084BF3">
        <w:rPr>
          <w:b/>
          <w:i w:val="0"/>
          <w:iCs/>
          <w:sz w:val="22"/>
          <w:szCs w:val="22"/>
          <w:lang w:val="pt-PT"/>
        </w:rPr>
        <w:t>5</w:t>
      </w:r>
      <w:bookmarkStart w:id="0" w:name="_GoBack"/>
      <w:bookmarkEnd w:id="0"/>
      <w:r w:rsidR="00454211" w:rsidRPr="00583EE7">
        <w:rPr>
          <w:b/>
          <w:i w:val="0"/>
          <w:iCs/>
          <w:sz w:val="22"/>
          <w:szCs w:val="22"/>
          <w:lang w:val="pt-PT"/>
        </w:rPr>
        <w:t>/2023</w:t>
      </w:r>
    </w:p>
    <w:p w14:paraId="532F1976" w14:textId="77777777" w:rsidR="006514A7" w:rsidRPr="00583EE7" w:rsidRDefault="006514A7" w:rsidP="006F508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0F0B229" w14:textId="77777777" w:rsidR="006514A7" w:rsidRPr="00583EE7" w:rsidRDefault="006514A7">
      <w:pPr>
        <w:pStyle w:val="Corpodeltesto21"/>
        <w:rPr>
          <w:sz w:val="22"/>
          <w:szCs w:val="22"/>
          <w:lang w:val="pt-PT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A1DE" w14:textId="77777777" w:rsidR="003E5B37" w:rsidRDefault="003E5B37" w:rsidP="00C10588">
      <w:r>
        <w:separator/>
      </w:r>
    </w:p>
  </w:endnote>
  <w:endnote w:type="continuationSeparator" w:id="0">
    <w:p w14:paraId="14BDEEB5" w14:textId="77777777" w:rsidR="003E5B37" w:rsidRDefault="003E5B37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E4A3C" w14:textId="77777777" w:rsidR="003E5B37" w:rsidRDefault="003E5B37" w:rsidP="00C10588">
      <w:r>
        <w:separator/>
      </w:r>
    </w:p>
  </w:footnote>
  <w:footnote w:type="continuationSeparator" w:id="0">
    <w:p w14:paraId="2B2F2823" w14:textId="77777777" w:rsidR="003E5B37" w:rsidRDefault="003E5B37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43A7B"/>
    <w:rsid w:val="00055AAC"/>
    <w:rsid w:val="00084BF3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7498E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D6208"/>
    <w:rsid w:val="003E5B37"/>
    <w:rsid w:val="00454211"/>
    <w:rsid w:val="00462D90"/>
    <w:rsid w:val="004E2BD7"/>
    <w:rsid w:val="005179B3"/>
    <w:rsid w:val="00537F42"/>
    <w:rsid w:val="00544F25"/>
    <w:rsid w:val="00545E5C"/>
    <w:rsid w:val="00562B7E"/>
    <w:rsid w:val="00583EE7"/>
    <w:rsid w:val="0062308C"/>
    <w:rsid w:val="00646F8D"/>
    <w:rsid w:val="006514A7"/>
    <w:rsid w:val="00666A7F"/>
    <w:rsid w:val="00674C03"/>
    <w:rsid w:val="006B4895"/>
    <w:rsid w:val="006F5080"/>
    <w:rsid w:val="0072108D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A36E4B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76EFB"/>
    <w:rsid w:val="00CD7DE3"/>
    <w:rsid w:val="00CF60A5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5C29-4212-4241-81FF-B96417E8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Daniela Cusmai</cp:lastModifiedBy>
  <cp:revision>7</cp:revision>
  <cp:lastPrinted>2015-12-18T12:57:00Z</cp:lastPrinted>
  <dcterms:created xsi:type="dcterms:W3CDTF">2022-05-31T09:01:00Z</dcterms:created>
  <dcterms:modified xsi:type="dcterms:W3CDTF">2023-02-28T10:29:00Z</dcterms:modified>
</cp:coreProperties>
</file>